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04" w:rsidRPr="00C17404" w:rsidRDefault="00C17404" w:rsidP="00C174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74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Автоматизированная информационная система "система обработки запросов" (АИС "СОЗ")</w:t>
      </w:r>
    </w:p>
    <w:p w:rsidR="00C17404" w:rsidRPr="00C17404" w:rsidRDefault="00C17404" w:rsidP="00C17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7210"/>
      </w:tblGrid>
      <w:tr w:rsidR="00C17404" w:rsidRPr="00C17404" w:rsidTr="00C17404">
        <w:trPr>
          <w:trHeight w:val="263"/>
        </w:trPr>
        <w:tc>
          <w:tcPr>
            <w:tcW w:w="3346" w:type="dxa"/>
            <w:tcBorders>
              <w:top w:val="single" w:sz="24" w:space="0" w:color="E1E1E1"/>
              <w:left w:val="single" w:sz="24" w:space="0" w:color="E1E1E1"/>
              <w:bottom w:val="single" w:sz="24" w:space="0" w:color="E1E1E1"/>
              <w:right w:val="single" w:sz="24" w:space="0" w:color="E1E1E1"/>
            </w:tcBorders>
            <w:shd w:val="clear" w:color="auto" w:fill="FAFAFA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17404" w:rsidRPr="00C17404" w:rsidRDefault="00C17404" w:rsidP="00C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single" w:sz="24" w:space="0" w:color="E1E1E1"/>
              <w:left w:val="single" w:sz="24" w:space="0" w:color="E1E1E1"/>
              <w:bottom w:val="single" w:sz="24" w:space="0" w:color="E1E1E1"/>
              <w:right w:val="single" w:sz="24" w:space="0" w:color="E1E1E1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17404" w:rsidRPr="00C17404" w:rsidRDefault="00C17404" w:rsidP="00C1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«АйТи. Ведомственные системы»</w:t>
            </w:r>
          </w:p>
        </w:tc>
      </w:tr>
      <w:tr w:rsidR="00C17404" w:rsidRPr="00C17404" w:rsidTr="00C17404">
        <w:trPr>
          <w:trHeight w:val="278"/>
        </w:trPr>
        <w:tc>
          <w:tcPr>
            <w:tcW w:w="3346" w:type="dxa"/>
            <w:tcBorders>
              <w:top w:val="single" w:sz="24" w:space="0" w:color="E1E1E1"/>
              <w:left w:val="single" w:sz="24" w:space="0" w:color="E1E1E1"/>
              <w:bottom w:val="single" w:sz="24" w:space="0" w:color="E1E1E1"/>
              <w:right w:val="single" w:sz="24" w:space="0" w:color="E1E1E1"/>
            </w:tcBorders>
            <w:shd w:val="clear" w:color="auto" w:fill="FAFAFA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17404" w:rsidRPr="00C17404" w:rsidRDefault="00C17404" w:rsidP="00C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24" w:space="0" w:color="E1E1E1"/>
              <w:left w:val="single" w:sz="24" w:space="0" w:color="E1E1E1"/>
              <w:bottom w:val="single" w:sz="24" w:space="0" w:color="E1E1E1"/>
              <w:right w:val="single" w:sz="24" w:space="0" w:color="E1E1E1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17404" w:rsidRPr="00C17404" w:rsidRDefault="00C17404" w:rsidP="00C1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17404">
                <w:rPr>
                  <w:rFonts w:ascii="Times New Roman" w:eastAsia="Times New Roman" w:hAnsi="Times New Roman" w:cs="Times New Roman"/>
                  <w:color w:val="1E8430"/>
                  <w:sz w:val="24"/>
                  <w:szCs w:val="24"/>
                  <w:u w:val="single"/>
                  <w:lang w:eastAsia="ru-RU"/>
                </w:rPr>
                <w:t>it.ru</w:t>
              </w:r>
            </w:hyperlink>
            <w:r w:rsidRPr="00C1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404" w:rsidRPr="00C17404" w:rsidTr="00C17404">
        <w:trPr>
          <w:trHeight w:val="263"/>
        </w:trPr>
        <w:tc>
          <w:tcPr>
            <w:tcW w:w="3346" w:type="dxa"/>
            <w:tcBorders>
              <w:top w:val="single" w:sz="24" w:space="0" w:color="E1E1E1"/>
              <w:left w:val="single" w:sz="24" w:space="0" w:color="E1E1E1"/>
              <w:bottom w:val="single" w:sz="24" w:space="0" w:color="E1E1E1"/>
              <w:right w:val="single" w:sz="24" w:space="0" w:color="E1E1E1"/>
            </w:tcBorders>
            <w:shd w:val="clear" w:color="auto" w:fill="FAFAFA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17404" w:rsidRPr="00C17404" w:rsidRDefault="00C17404" w:rsidP="00C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языки</w:t>
            </w:r>
          </w:p>
        </w:tc>
        <w:tc>
          <w:tcPr>
            <w:tcW w:w="0" w:type="auto"/>
            <w:tcBorders>
              <w:top w:val="single" w:sz="24" w:space="0" w:color="E1E1E1"/>
              <w:left w:val="single" w:sz="24" w:space="0" w:color="E1E1E1"/>
              <w:bottom w:val="single" w:sz="24" w:space="0" w:color="E1E1E1"/>
              <w:right w:val="single" w:sz="24" w:space="0" w:color="E1E1E1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17404" w:rsidRPr="00C17404" w:rsidRDefault="00C17404" w:rsidP="00C1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17404" w:rsidRPr="00C17404" w:rsidTr="00C17404">
        <w:trPr>
          <w:trHeight w:val="278"/>
        </w:trPr>
        <w:tc>
          <w:tcPr>
            <w:tcW w:w="3346" w:type="dxa"/>
            <w:tcBorders>
              <w:top w:val="single" w:sz="24" w:space="0" w:color="E1E1E1"/>
              <w:left w:val="single" w:sz="24" w:space="0" w:color="E1E1E1"/>
              <w:bottom w:val="single" w:sz="24" w:space="0" w:color="E1E1E1"/>
              <w:right w:val="single" w:sz="24" w:space="0" w:color="E1E1E1"/>
            </w:tcBorders>
            <w:shd w:val="clear" w:color="auto" w:fill="FAFAFA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17404" w:rsidRPr="00C17404" w:rsidRDefault="00C17404" w:rsidP="00C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представления данных</w:t>
            </w:r>
          </w:p>
        </w:tc>
        <w:tc>
          <w:tcPr>
            <w:tcW w:w="0" w:type="auto"/>
            <w:tcBorders>
              <w:top w:val="single" w:sz="24" w:space="0" w:color="E1E1E1"/>
              <w:left w:val="single" w:sz="24" w:space="0" w:color="E1E1E1"/>
              <w:bottom w:val="single" w:sz="24" w:space="0" w:color="E1E1E1"/>
              <w:right w:val="single" w:sz="24" w:space="0" w:color="E1E1E1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C17404" w:rsidRPr="00C17404" w:rsidRDefault="00C17404" w:rsidP="00C1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XLS, HTML, База данных, DOC, DOCX, XML, XLSX, PDF</w:t>
            </w:r>
          </w:p>
        </w:tc>
      </w:tr>
    </w:tbl>
    <w:p w:rsidR="00C17404" w:rsidRPr="00C17404" w:rsidRDefault="00C17404" w:rsidP="00C1740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C17404">
        <w:rPr>
          <w:rFonts w:ascii="Open Sans" w:eastAsia="Times New Roman" w:hAnsi="Open Sans" w:cs="Times New Roman"/>
          <w:color w:val="262626"/>
          <w:lang w:eastAsia="ru-RU"/>
        </w:rPr>
        <w:t> </w:t>
      </w:r>
    </w:p>
    <w:p w:rsidR="00C17404" w:rsidRPr="00C17404" w:rsidRDefault="00C17404" w:rsidP="00C1740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C17404">
        <w:rPr>
          <w:rFonts w:ascii="Open Sans" w:eastAsia="Times New Roman" w:hAnsi="Open Sans" w:cs="Times New Roman"/>
          <w:color w:val="262626"/>
          <w:lang w:eastAsia="ru-RU"/>
        </w:rPr>
        <w:t>Система предназначена для межведомственного электронного взаимодействия и обеспечения возможности подачи заявления для граждан и организаций на получение услуг, предоставляемых на региональном и муниципальном уровне, в электронном виде, включая:</w:t>
      </w:r>
    </w:p>
    <w:p w:rsidR="00C17404" w:rsidRPr="00C17404" w:rsidRDefault="00C17404" w:rsidP="00C17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C17404">
        <w:rPr>
          <w:rFonts w:ascii="Open Sans" w:eastAsia="Times New Roman" w:hAnsi="Open Sans" w:cs="Times New Roman"/>
          <w:color w:val="262626"/>
          <w:lang w:eastAsia="ru-RU"/>
        </w:rPr>
        <w:t>доведение до получателя услуги информации об услуге;</w:t>
      </w:r>
    </w:p>
    <w:p w:rsidR="00C17404" w:rsidRPr="00C17404" w:rsidRDefault="00C17404" w:rsidP="00C17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C17404">
        <w:rPr>
          <w:rFonts w:ascii="Open Sans" w:eastAsia="Times New Roman" w:hAnsi="Open Sans" w:cs="Times New Roman"/>
          <w:color w:val="262626"/>
          <w:lang w:eastAsia="ru-RU"/>
        </w:rPr>
        <w:t>прием, обработку (маршрутизацию) и доведение до исполнителей в органах власти заявки на услугу в соответствии с требованиями регламентов оказания услуги;</w:t>
      </w:r>
    </w:p>
    <w:p w:rsidR="00C17404" w:rsidRPr="00C17404" w:rsidRDefault="00C17404" w:rsidP="00C17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C17404">
        <w:rPr>
          <w:rFonts w:ascii="Open Sans" w:eastAsia="Times New Roman" w:hAnsi="Open Sans" w:cs="Times New Roman"/>
          <w:color w:val="262626"/>
          <w:lang w:eastAsia="ru-RU"/>
        </w:rPr>
        <w:t>доведение до получателя услуги результатов оказания услуги;</w:t>
      </w:r>
    </w:p>
    <w:p w:rsidR="00C17404" w:rsidRPr="00C17404" w:rsidRDefault="00C17404" w:rsidP="00C17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C17404">
        <w:rPr>
          <w:rFonts w:ascii="Open Sans" w:eastAsia="Times New Roman" w:hAnsi="Open Sans" w:cs="Times New Roman"/>
          <w:color w:val="262626"/>
          <w:lang w:eastAsia="ru-RU"/>
        </w:rPr>
        <w:t>доведение до получателя услуги предусмотренной законодательством информации о ходе оказания услуги;</w:t>
      </w:r>
    </w:p>
    <w:p w:rsidR="00C17404" w:rsidRPr="00C17404" w:rsidRDefault="00C17404" w:rsidP="00C17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C17404">
        <w:rPr>
          <w:rFonts w:ascii="Open Sans" w:eastAsia="Times New Roman" w:hAnsi="Open Sans" w:cs="Times New Roman"/>
          <w:color w:val="262626"/>
          <w:lang w:eastAsia="ru-RU"/>
        </w:rPr>
        <w:t>внутриведомственное взаимодействие, необходимое для успешного оказания услуги;</w:t>
      </w:r>
    </w:p>
    <w:p w:rsidR="00C17404" w:rsidRPr="00C17404" w:rsidRDefault="00C17404" w:rsidP="00C17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C17404">
        <w:rPr>
          <w:rFonts w:ascii="Open Sans" w:eastAsia="Times New Roman" w:hAnsi="Open Sans" w:cs="Times New Roman"/>
          <w:color w:val="262626"/>
          <w:lang w:eastAsia="ru-RU"/>
        </w:rPr>
        <w:t>выполнение необходимых для оказания услуги межведомственных запросов;</w:t>
      </w:r>
    </w:p>
    <w:p w:rsidR="00C17404" w:rsidRPr="00C17404" w:rsidRDefault="00C17404" w:rsidP="00C17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C17404">
        <w:rPr>
          <w:rFonts w:ascii="Open Sans" w:eastAsia="Times New Roman" w:hAnsi="Open Sans" w:cs="Times New Roman"/>
          <w:color w:val="262626"/>
          <w:lang w:eastAsia="ru-RU"/>
        </w:rPr>
        <w:t>выполнение предусмотренных действующим законодательством требований в области защиты, обрабатываемой и передаваемой между участниками информации, включая ЭП и СКЗИ;</w:t>
      </w:r>
    </w:p>
    <w:p w:rsidR="00C17404" w:rsidRPr="00C17404" w:rsidRDefault="00C17404" w:rsidP="00C17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C17404">
        <w:rPr>
          <w:rFonts w:ascii="Open Sans" w:eastAsia="Times New Roman" w:hAnsi="Open Sans" w:cs="Times New Roman"/>
          <w:color w:val="262626"/>
          <w:lang w:eastAsia="ru-RU"/>
        </w:rPr>
        <w:t>прозрачность и контролируемость хода процессов оказания услуг для уполномоченных на доступ к такого рода информации лиц.</w:t>
      </w:r>
    </w:p>
    <w:p w:rsidR="005F74C2" w:rsidRDefault="005F74C2" w:rsidP="00C17404">
      <w:pPr>
        <w:ind w:left="-567"/>
      </w:pPr>
    </w:p>
    <w:sectPr w:rsidR="005F74C2" w:rsidSect="00C17404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F7B"/>
    <w:multiLevelType w:val="multilevel"/>
    <w:tmpl w:val="0F8E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4"/>
    <w:rsid w:val="005F74C2"/>
    <w:rsid w:val="00C1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ECC9"/>
  <w15:chartTrackingRefBased/>
  <w15:docId w15:val="{6863923A-1D58-4713-8DE7-A54625F4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2016-08-01T08:48:00Z</dcterms:created>
  <dcterms:modified xsi:type="dcterms:W3CDTF">2016-08-01T08:49:00Z</dcterms:modified>
</cp:coreProperties>
</file>